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4E" w:rsidRPr="00CF5B67" w:rsidRDefault="00A26A4E" w:rsidP="00A26A4E">
      <w:pPr>
        <w:pStyle w:val="Default"/>
        <w:spacing w:line="276" w:lineRule="auto"/>
        <w:jc w:val="center"/>
      </w:pPr>
      <w:r w:rsidRPr="00CF5B67">
        <w:t>ВСЕРОССИЙСКАЯ ОЛИМПИАДА ШКОЛЬНИКОВ ПО ИСПАНСКОМУ ЯЗЫКУ</w:t>
      </w:r>
    </w:p>
    <w:p w:rsidR="00A26A4E" w:rsidRPr="00CF5B67" w:rsidRDefault="00A26A4E" w:rsidP="00A26A4E">
      <w:pPr>
        <w:pStyle w:val="Default"/>
        <w:spacing w:line="276" w:lineRule="auto"/>
        <w:jc w:val="center"/>
      </w:pPr>
      <w:r w:rsidRPr="00CF5B67">
        <w:t>МУНИЦИПАЛЬНЫЙ ЭТАП</w:t>
      </w:r>
    </w:p>
    <w:p w:rsidR="00A26A4E" w:rsidRPr="00CF5B67" w:rsidRDefault="00A26A4E" w:rsidP="00A26A4E">
      <w:pPr>
        <w:pStyle w:val="Default"/>
        <w:spacing w:line="276" w:lineRule="auto"/>
        <w:jc w:val="center"/>
      </w:pPr>
      <w:r w:rsidRPr="00CF5B67">
        <w:t>возрастная группа (7-8 классы)</w:t>
      </w:r>
    </w:p>
    <w:p w:rsidR="00902954" w:rsidRDefault="00026B08" w:rsidP="00A26A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6A4E" w:rsidRDefault="00A26A4E" w:rsidP="00A26A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A26A4E" w:rsidRPr="00E67C51" w:rsidRDefault="00AF4999" w:rsidP="00A26A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A26A4E" w:rsidRDefault="00A26A4E" w:rsidP="00A26A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26A4E" w:rsidTr="00A26A4E"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 – b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2 – a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3 – b </w:t>
            </w:r>
          </w:p>
        </w:tc>
        <w:tc>
          <w:tcPr>
            <w:tcW w:w="2337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4 – a </w:t>
            </w:r>
          </w:p>
        </w:tc>
      </w:tr>
      <w:tr w:rsidR="00A26A4E" w:rsidTr="00A26A4E"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5 – a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6 – b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7 – a </w:t>
            </w:r>
          </w:p>
        </w:tc>
        <w:tc>
          <w:tcPr>
            <w:tcW w:w="2337" w:type="dxa"/>
          </w:tcPr>
          <w:p w:rsidR="00A26A4E" w:rsidRDefault="00A26A4E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06AD" w:rsidRDefault="001506AD" w:rsidP="00150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A4E" w:rsidRDefault="00A26A4E" w:rsidP="00150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26A4E" w:rsidTr="00A26A4E"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8 – a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9 – b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10 – a </w:t>
            </w:r>
          </w:p>
        </w:tc>
        <w:tc>
          <w:tcPr>
            <w:tcW w:w="2337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11 – c </w:t>
            </w:r>
          </w:p>
        </w:tc>
      </w:tr>
      <w:tr w:rsidR="00A26A4E" w:rsidTr="00A26A4E"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12 – c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13 – c </w:t>
            </w:r>
          </w:p>
        </w:tc>
        <w:tc>
          <w:tcPr>
            <w:tcW w:w="2336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14 – b </w:t>
            </w:r>
          </w:p>
        </w:tc>
        <w:tc>
          <w:tcPr>
            <w:tcW w:w="2337" w:type="dxa"/>
          </w:tcPr>
          <w:p w:rsidR="00A26A4E" w:rsidRPr="00E67C51" w:rsidRDefault="00E67C51" w:rsidP="00A26A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15 – c </w:t>
            </w:r>
          </w:p>
        </w:tc>
      </w:tr>
    </w:tbl>
    <w:p w:rsidR="001506AD" w:rsidRDefault="001506AD" w:rsidP="001506A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6A4E" w:rsidRPr="00E67C51" w:rsidRDefault="00A26A4E" w:rsidP="00A26A4E">
      <w:pPr>
        <w:jc w:val="both"/>
        <w:rPr>
          <w:rFonts w:ascii="Times New Roman" w:hAnsi="Times New Roman" w:cs="Times New Roman"/>
          <w:i/>
          <w:sz w:val="28"/>
          <w:szCs w:val="28"/>
          <w:lang w:val="es-ES"/>
        </w:rPr>
      </w:pPr>
      <w:proofErr w:type="spellStart"/>
      <w:r w:rsidRPr="00E67C51">
        <w:rPr>
          <w:rFonts w:ascii="Times New Roman" w:hAnsi="Times New Roman" w:cs="Times New Roman"/>
          <w:i/>
          <w:sz w:val="28"/>
          <w:szCs w:val="28"/>
        </w:rPr>
        <w:t>Аудиоскрипт</w:t>
      </w:r>
      <w:proofErr w:type="spellEnd"/>
      <w:r w:rsidRPr="00E67C51">
        <w:rPr>
          <w:rFonts w:ascii="Times New Roman" w:hAnsi="Times New Roman" w:cs="Times New Roman"/>
          <w:i/>
          <w:sz w:val="28"/>
          <w:szCs w:val="28"/>
          <w:lang w:val="es-ES"/>
        </w:rPr>
        <w:t xml:space="preserve"> </w:t>
      </w:r>
    </w:p>
    <w:p w:rsidR="00A26A4E" w:rsidRPr="00A26A4E" w:rsidRDefault="00A26A4E" w:rsidP="001506AD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1506AD">
        <w:rPr>
          <w:rFonts w:ascii="Times New Roman" w:hAnsi="Times New Roman" w:cs="Times New Roman"/>
          <w:b/>
          <w:i/>
          <w:sz w:val="28"/>
          <w:szCs w:val="28"/>
          <w:lang w:val="es-ES"/>
        </w:rPr>
        <w:t>Picass</w:t>
      </w:r>
      <w:r w:rsidR="001506AD" w:rsidRPr="001506AD">
        <w:rPr>
          <w:rFonts w:ascii="Times New Roman" w:hAnsi="Times New Roman" w:cs="Times New Roman"/>
          <w:b/>
          <w:i/>
          <w:sz w:val="28"/>
          <w:szCs w:val="28"/>
          <w:lang w:val="es-ES"/>
        </w:rPr>
        <w:t>o y Dalí reunidos en Barcelona</w:t>
      </w:r>
      <w:r w:rsidR="001506AD">
        <w:rPr>
          <w:rFonts w:ascii="Times New Roman" w:hAnsi="Times New Roman" w:cs="Times New Roman"/>
          <w:sz w:val="28"/>
          <w:szCs w:val="28"/>
          <w:lang w:val="es-ES"/>
        </w:rPr>
        <w:t xml:space="preserve">  // 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 xml:space="preserve">Ecos 2015 / 03 </w:t>
      </w:r>
    </w:p>
    <w:p w:rsidR="00A26A4E" w:rsidRPr="00A26A4E" w:rsidRDefault="00A26A4E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A26A4E">
        <w:rPr>
          <w:rFonts w:ascii="Times New Roman" w:hAnsi="Times New Roman" w:cs="Times New Roman"/>
          <w:sz w:val="28"/>
          <w:szCs w:val="28"/>
          <w:lang w:val="es-ES"/>
        </w:rPr>
        <w:t>Pablo Picasso y Salvador Dalí tienen una cita este mes en el Museo Picasso de Barcelona. Se trata de la exposición Picasso/Dalí. Dalí/ Picasso, que se podrá ver desde el 19 de marzo hasta el 28 de junio, con obras de los dos artistas procedentes de más de veinticinco museos y colecciones privadas de todo el mundo. El momento ideal para admirar las obras del artista más importante del siglo XX, Pablo Picasso, y el más controvertido de los pintores catalanes, Salvador Dalí. Hasta ahora, Dalí y Picasso han sido presentados a menudo como figuras aisladas y míticas, creadores de su propio universo estético y con posiciones políticas y personales opuestas. A través de pinturas,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>grabados y esculturas, en esta exposición los lectores de ECOS podrán analizar las similitudes y las diferencias entre ambos artistas, y conocer el contexto histórico y artístico que compartieron. Es, sin duda, una magnífica oportunidad para descubrir las relaciones personales y artísticas de dos figuras clave del arte del siglo XX.</w:t>
      </w:r>
    </w:p>
    <w:p w:rsidR="00A26A4E" w:rsidRPr="00A26A4E" w:rsidRDefault="00A26A4E" w:rsidP="00150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s-ES"/>
        </w:rPr>
      </w:pPr>
      <w:r w:rsidRPr="00A26A4E">
        <w:rPr>
          <w:rFonts w:ascii="Times New Roman" w:hAnsi="Times New Roman" w:cs="Times New Roman"/>
          <w:b/>
          <w:sz w:val="28"/>
          <w:szCs w:val="28"/>
          <w:lang w:val="es-ES"/>
        </w:rPr>
        <w:t xml:space="preserve">Encuentro de pintores </w:t>
      </w:r>
    </w:p>
    <w:p w:rsidR="00A26A4E" w:rsidRDefault="00A26A4E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A26A4E">
        <w:rPr>
          <w:rFonts w:ascii="Times New Roman" w:hAnsi="Times New Roman" w:cs="Times New Roman"/>
          <w:sz w:val="28"/>
          <w:szCs w:val="28"/>
          <w:lang w:val="es-ES"/>
        </w:rPr>
        <w:t>Picasso y Dalí se conocieron durante la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>primavera de 1926, en París. Por aquel entonces, Picasso tenía 45 años y era ya un artista reconocido internacionalmente, mientras que Dalí era un joven de 22 años que admiraba profundamente al creador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t xml:space="preserve">malagueño. “Picasso, mi segundo padre espiritual”, decía Dalí. Pablo Picasso, que ya había visto una exposición del joven Dalí en Barcelona, recibió muy bien en su taller al pintor catalán y le ayudó a introducirse en el </w:t>
      </w:r>
      <w:r w:rsidRPr="00A26A4E">
        <w:rPr>
          <w:rFonts w:ascii="Times New Roman" w:hAnsi="Times New Roman" w:cs="Times New Roman"/>
          <w:sz w:val="28"/>
          <w:szCs w:val="28"/>
          <w:lang w:val="es-ES"/>
        </w:rPr>
        <w:lastRenderedPageBreak/>
        <w:t>círculo artístico parisino. Al regresar de ese viaje, Dalí se puso a trabajar en un conjunto de pinturas, impactado por haber conocido personalmente al maestro. Por su parte, Picasso también se sintió fascinado por la personalidad extravagante y la imaginación desbordante de Dalí, y unos años más tarde, en 1934, incluso le prestó dinero para que Dalí pudiera viajar por primera vez a Estados Unidos y presentar su obra a un galerista de Nueva York.</w:t>
      </w:r>
    </w:p>
    <w:p w:rsidR="001506AD" w:rsidRDefault="001506AD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E67C51" w:rsidRDefault="00E67C51" w:rsidP="001506AD">
      <w:pPr>
        <w:tabs>
          <w:tab w:val="center" w:pos="523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4999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 w:rsidR="001506AD">
        <w:rPr>
          <w:rFonts w:ascii="Times New Roman" w:hAnsi="Times New Roman" w:cs="Times New Roman"/>
          <w:b/>
          <w:sz w:val="24"/>
          <w:szCs w:val="24"/>
        </w:rPr>
        <w:tab/>
      </w:r>
    </w:p>
    <w:p w:rsidR="001506AD" w:rsidRPr="001506AD" w:rsidRDefault="001506AD" w:rsidP="001506AD">
      <w:pPr>
        <w:tabs>
          <w:tab w:val="center" w:pos="523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67C51" w:rsidTr="00E67C51"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 – b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5 – c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9 – a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13 – a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17 – a </w:t>
            </w:r>
          </w:p>
        </w:tc>
      </w:tr>
      <w:tr w:rsidR="00E67C51" w:rsidTr="00E67C51"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2 – a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6 – c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10 – c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14 – a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18 – c </w:t>
            </w:r>
          </w:p>
        </w:tc>
      </w:tr>
      <w:tr w:rsidR="00E67C51" w:rsidTr="00E67C51"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3 – b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7 – a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11 – a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15 – c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19 – b </w:t>
            </w:r>
          </w:p>
        </w:tc>
      </w:tr>
      <w:tr w:rsidR="00E67C51" w:rsidTr="00E67C51"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4 – b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8 – b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12 – b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16 – a </w:t>
            </w:r>
          </w:p>
        </w:tc>
        <w:tc>
          <w:tcPr>
            <w:tcW w:w="1869" w:type="dxa"/>
          </w:tcPr>
          <w:p w:rsidR="00E67C51" w:rsidRDefault="00E67C51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20 – b </w:t>
            </w:r>
          </w:p>
        </w:tc>
      </w:tr>
    </w:tbl>
    <w:p w:rsidR="001506AD" w:rsidRDefault="001506AD" w:rsidP="00150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E67C51" w:rsidRDefault="00E67C51" w:rsidP="00150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s-ES"/>
        </w:rPr>
        <w:t xml:space="preserve">Mag. - 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 HYPERLINK "</w:instrText>
      </w:r>
      <w:r w:rsidRPr="00E67C51">
        <w:rPr>
          <w:rFonts w:ascii="Times New Roman" w:hAnsi="Times New Roman" w:cs="Times New Roman"/>
          <w:sz w:val="28"/>
          <w:szCs w:val="28"/>
          <w:lang w:val="es-ES"/>
        </w:rPr>
        <w:instrText>https://elcomercio.pe/mag/data/chagpt-en-siri-que-esta-preparando-apple-nnda-nnrt-noticia/?ref=ecr</w:instrText>
      </w:r>
      <w:r>
        <w:rPr>
          <w:rFonts w:ascii="Times New Roman" w:hAnsi="Times New Roman" w:cs="Times New Roman"/>
          <w:sz w:val="28"/>
          <w:szCs w:val="28"/>
          <w:lang w:val="es-ES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separate"/>
      </w:r>
      <w:r w:rsidRPr="008C09B2">
        <w:rPr>
          <w:rStyle w:val="a4"/>
          <w:rFonts w:ascii="Times New Roman" w:hAnsi="Times New Roman" w:cs="Times New Roman"/>
          <w:sz w:val="28"/>
          <w:szCs w:val="28"/>
          <w:lang w:val="es-ES"/>
        </w:rPr>
        <w:t>https://elcomercio.pe/mag/data/chagpt-en-siri-que-esta-preparando-apple-nnda-nnrt-noticia/?ref=ecr</w:t>
      </w:r>
      <w:r>
        <w:rPr>
          <w:rFonts w:ascii="Times New Roman" w:hAnsi="Times New Roman" w:cs="Times New Roman"/>
          <w:sz w:val="28"/>
          <w:szCs w:val="28"/>
          <w:lang w:val="es-E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</w:p>
    <w:p w:rsidR="00E67C51" w:rsidRPr="001506AD" w:rsidRDefault="00E67C51" w:rsidP="00E67C5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s-ES"/>
        </w:rPr>
      </w:pPr>
      <w:r w:rsidRPr="001506AD">
        <w:rPr>
          <w:rFonts w:ascii="Times New Roman" w:hAnsi="Times New Roman" w:cs="Times New Roman"/>
          <w:b/>
          <w:i/>
          <w:sz w:val="28"/>
          <w:szCs w:val="28"/>
          <w:lang w:val="es-ES"/>
        </w:rPr>
        <w:t>ChaGPT en Siri: ¿qué está preparando Apple?</w:t>
      </w:r>
    </w:p>
    <w:p w:rsidR="00E67C51" w:rsidRPr="00561EA3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La empresa tecnológica </w:t>
      </w:r>
      <w:r w:rsidRPr="00E67C51">
        <w:rPr>
          <w:rFonts w:ascii="Times New Roman" w:hAnsi="Times New Roman" w:cs="Times New Roman"/>
          <w:b/>
          <w:sz w:val="28"/>
          <w:szCs w:val="28"/>
          <w:lang w:val="es-ES"/>
        </w:rPr>
        <w:t>anunció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la integración de ChatGPT en junio, en el marco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de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su conferencia anual de desarrolladores.</w:t>
      </w:r>
    </w:p>
    <w:p w:rsidR="00E67C51" w:rsidRPr="00561EA3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Apple ya prepara la integración del ‘chatbot’ de OpenAI, ChatGPT y la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herramienta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Visual Intelligence en su asistente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virtual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Siri, como parte de las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novedades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impulsadas por inteligencia artifi</w:t>
      </w:r>
      <w:r w:rsidR="001506AD">
        <w:rPr>
          <w:rFonts w:ascii="Times New Roman" w:hAnsi="Times New Roman" w:cs="Times New Roman"/>
          <w:sz w:val="28"/>
          <w:szCs w:val="28"/>
          <w:lang w:val="es-ES"/>
        </w:rPr>
        <w:t>cial (IA) de Apple Inteligence.</w:t>
      </w:r>
    </w:p>
    <w:p w:rsidR="001506AD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Apple Inteligence llegará a los dispositivos de Apple compatibles con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el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sistema operativo iOS 18.1, en el que actualmente trabaja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la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firma tecnológica. Con él, llegarán las primeras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funciones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impulsadas por IA, como la herramienta de reescritura de texto, una versión renovada de Siri y la opción ‘Clean Up for Photos’.</w:t>
      </w:r>
    </w:p>
    <w:p w:rsidR="00E67C51" w:rsidRPr="00AF4999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AF4999">
        <w:rPr>
          <w:rFonts w:ascii="Times New Roman" w:hAnsi="Times New Roman" w:cs="Times New Roman"/>
          <w:sz w:val="28"/>
          <w:szCs w:val="28"/>
          <w:lang w:val="es-ES"/>
        </w:rPr>
        <w:t xml:space="preserve">El resto de funciones se implementarán de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manera</w:t>
      </w:r>
      <w:r w:rsidRPr="00AF4999">
        <w:rPr>
          <w:rFonts w:ascii="Times New Roman" w:hAnsi="Times New Roman" w:cs="Times New Roman"/>
          <w:sz w:val="28"/>
          <w:szCs w:val="28"/>
          <w:lang w:val="es-ES"/>
        </w:rPr>
        <w:t xml:space="preserve"> escalonada hasta alcanzar la versión iOS 18.4, como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adelantó</w:t>
      </w:r>
      <w:r w:rsidRPr="00AF4999">
        <w:rPr>
          <w:rFonts w:ascii="Times New Roman" w:hAnsi="Times New Roman" w:cs="Times New Roman"/>
          <w:sz w:val="28"/>
          <w:szCs w:val="28"/>
          <w:lang w:val="es-ES"/>
        </w:rPr>
        <w:t xml:space="preserve"> el periodista de Bloomberg especializado en Apple, Mark Gurman. Y en esta hoja de ruta, Apple ya está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preparando</w:t>
      </w:r>
      <w:r w:rsidRPr="00AF4999">
        <w:rPr>
          <w:rFonts w:ascii="Times New Roman" w:hAnsi="Times New Roman" w:cs="Times New Roman"/>
          <w:sz w:val="28"/>
          <w:szCs w:val="28"/>
          <w:lang w:val="es-ES"/>
        </w:rPr>
        <w:t xml:space="preserve"> la siguiente tanda.</w:t>
      </w:r>
    </w:p>
    <w:p w:rsidR="00E67C51" w:rsidRPr="00561EA3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Se trata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de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la integración de ChatGPT en Siri, como ha advertido el portal especializado MacRumors en el código del asistente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virtual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. Las primeras referencias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aparecieron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a principios de octubre, y ahora se han añadido otras nuevas y unas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adicionales</w:t>
      </w:r>
      <w:r w:rsidR="00FA034C">
        <w:rPr>
          <w:rFonts w:ascii="Times New Roman" w:hAnsi="Times New Roman" w:cs="Times New Roman"/>
          <w:sz w:val="28"/>
          <w:szCs w:val="28"/>
          <w:lang w:val="es-ES"/>
        </w:rPr>
        <w:t xml:space="preserve"> sobre Visual Intelligence.</w:t>
      </w:r>
    </w:p>
    <w:p w:rsidR="00E67C51" w:rsidRPr="00561EA3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lastRenderedPageBreak/>
        <w:t xml:space="preserve">Apple anunció la integración de ChatGPT en junio, en el marco de su conferencia anual de desarrolladores. La intención es que llegue antes de que termine el año y que esté disponible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de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manera gratuita para los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usuarios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de la marca mediante diferentes experiencias de iOS</w:t>
      </w:r>
      <w:r w:rsidR="00FA034C">
        <w:rPr>
          <w:rFonts w:ascii="Times New Roman" w:hAnsi="Times New Roman" w:cs="Times New Roman"/>
          <w:sz w:val="28"/>
          <w:szCs w:val="28"/>
          <w:lang w:val="es-ES"/>
        </w:rPr>
        <w:t xml:space="preserve"> 18, iPadOS 18 y macOS Sequoia.</w:t>
      </w:r>
    </w:p>
    <w:p w:rsidR="00870EEE" w:rsidRDefault="00E67C51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Visual Intelligence, por su parte, es una nueva herramienta que, al estilo de Google Lens,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permite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obtener información sobre objetos y lugares con solo apuntar con la cámara. En la presentación de los nuevos iPhone 16, Apple indicó que se incorporará el próximo año a Control de Cámara en </w:t>
      </w:r>
      <w:r w:rsidRPr="00AF4999">
        <w:rPr>
          <w:rFonts w:ascii="Times New Roman" w:hAnsi="Times New Roman" w:cs="Times New Roman"/>
          <w:b/>
          <w:sz w:val="28"/>
          <w:szCs w:val="28"/>
          <w:lang w:val="es-ES"/>
        </w:rPr>
        <w:t>aquellos</w:t>
      </w:r>
      <w:r w:rsidRPr="00561EA3">
        <w:rPr>
          <w:rFonts w:ascii="Times New Roman" w:hAnsi="Times New Roman" w:cs="Times New Roman"/>
          <w:sz w:val="28"/>
          <w:szCs w:val="28"/>
          <w:lang w:val="es-ES"/>
        </w:rPr>
        <w:t xml:space="preserve"> países y regiones donde esté disponible el sistema Apple Intelligence.</w:t>
      </w:r>
    </w:p>
    <w:p w:rsidR="001506AD" w:rsidRDefault="001506AD" w:rsidP="00150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FA034C" w:rsidRPr="00FA034C" w:rsidRDefault="00AF4999" w:rsidP="00AF49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4999">
        <w:rPr>
          <w:rFonts w:ascii="Times New Roman" w:hAnsi="Times New Roman" w:cs="Times New Roman"/>
          <w:b/>
          <w:sz w:val="24"/>
          <w:szCs w:val="24"/>
        </w:rPr>
        <w:t>ЛИНГВСТРАНОВЕДЧЕСКАЯ</w:t>
      </w:r>
      <w:r w:rsidRPr="00870EE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AF4999">
        <w:rPr>
          <w:rFonts w:ascii="Times New Roman" w:hAnsi="Times New Roman" w:cs="Times New Roman"/>
          <w:b/>
          <w:sz w:val="24"/>
          <w:szCs w:val="24"/>
        </w:rPr>
        <w:t>ВИКТОРИНА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70EEE" w:rsidTr="00870EEE">
        <w:tc>
          <w:tcPr>
            <w:tcW w:w="1869" w:type="dxa"/>
          </w:tcPr>
          <w:p w:rsidR="00870EEE" w:rsidRP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– b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2 – b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3 – c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4 – b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5 – b </w:t>
            </w:r>
          </w:p>
        </w:tc>
      </w:tr>
      <w:tr w:rsidR="00870EEE" w:rsidTr="00870EEE"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6 – a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7 – c 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8 - c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9 - b</w:t>
            </w:r>
          </w:p>
        </w:tc>
        <w:tc>
          <w:tcPr>
            <w:tcW w:w="1869" w:type="dxa"/>
          </w:tcPr>
          <w:p w:rsidR="00870EEE" w:rsidRDefault="00870EEE" w:rsidP="00A26A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10 – b </w:t>
            </w:r>
          </w:p>
        </w:tc>
      </w:tr>
    </w:tbl>
    <w:p w:rsidR="00FA034C" w:rsidRDefault="00FA034C" w:rsidP="001B4CE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C51" w:rsidRPr="00677A28" w:rsidRDefault="00870EEE" w:rsidP="001B4CE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A28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870EEE" w:rsidRPr="00677A28" w:rsidRDefault="00677A28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677A28">
        <w:rPr>
          <w:rFonts w:ascii="Times New Roman" w:hAnsi="Times New Roman" w:cs="Times New Roman"/>
          <w:sz w:val="28"/>
          <w:szCs w:val="28"/>
          <w:lang w:val="es-ES"/>
        </w:rPr>
        <w:t xml:space="preserve"> 1.</w:t>
      </w:r>
    </w:p>
    <w:p w:rsidR="00677A28" w:rsidRPr="002D527B" w:rsidRDefault="00677A28" w:rsidP="001B4CE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s-ES"/>
        </w:rPr>
      </w:pPr>
      <w:r w:rsidRPr="002D527B">
        <w:rPr>
          <w:rFonts w:ascii="Times New Roman" w:hAnsi="Times New Roman" w:cs="Times New Roman"/>
          <w:b/>
          <w:i/>
          <w:sz w:val="28"/>
          <w:szCs w:val="28"/>
          <w:lang w:val="es-ES"/>
        </w:rPr>
        <w:t>El fascinante origen del nombre de España</w:t>
      </w:r>
    </w:p>
    <w:p w:rsidR="00677A28" w:rsidRPr="002D527B" w:rsidRDefault="00677A28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D527B">
        <w:rPr>
          <w:rFonts w:ascii="Times New Roman" w:hAnsi="Times New Roman" w:cs="Times New Roman"/>
          <w:sz w:val="28"/>
          <w:szCs w:val="28"/>
          <w:lang w:val="en-US"/>
        </w:rPr>
        <w:t>Inlimited</w:t>
      </w:r>
      <w:proofErr w:type="spellEnd"/>
      <w:r w:rsidRPr="002D527B">
        <w:rPr>
          <w:rFonts w:ascii="Times New Roman" w:hAnsi="Times New Roman" w:cs="Times New Roman"/>
          <w:sz w:val="28"/>
          <w:szCs w:val="28"/>
          <w:lang w:val="en-US"/>
        </w:rPr>
        <w:t xml:space="preserve"> Spanish – </w:t>
      </w:r>
      <w:hyperlink r:id="rId7" w:history="1">
        <w:r w:rsidRPr="008C09B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https://unlimitedspanish.com/382-el-fascinante-origen-del-nombre-de-espana/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B4CEE" w:rsidTr="001B4CEE">
        <w:tc>
          <w:tcPr>
            <w:tcW w:w="1869" w:type="dxa"/>
          </w:tcPr>
          <w:p w:rsidR="001B4CEE" w:rsidRPr="001B4CEE" w:rsidRDefault="001B4CEE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– a </w:t>
            </w:r>
          </w:p>
        </w:tc>
        <w:tc>
          <w:tcPr>
            <w:tcW w:w="1869" w:type="dxa"/>
          </w:tcPr>
          <w:p w:rsidR="001B4CEE" w:rsidRDefault="001B4CEE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2 – b </w:t>
            </w:r>
          </w:p>
        </w:tc>
        <w:tc>
          <w:tcPr>
            <w:tcW w:w="1869" w:type="dxa"/>
          </w:tcPr>
          <w:p w:rsidR="001B4CEE" w:rsidRDefault="001B4CEE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3 – a </w:t>
            </w:r>
          </w:p>
        </w:tc>
        <w:tc>
          <w:tcPr>
            <w:tcW w:w="1869" w:type="dxa"/>
          </w:tcPr>
          <w:p w:rsidR="001B4CEE" w:rsidRDefault="001B4CEE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4 – a </w:t>
            </w:r>
          </w:p>
        </w:tc>
        <w:tc>
          <w:tcPr>
            <w:tcW w:w="1869" w:type="dxa"/>
          </w:tcPr>
          <w:p w:rsidR="001B4CEE" w:rsidRDefault="001B4CEE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5 – a </w:t>
            </w:r>
          </w:p>
        </w:tc>
      </w:tr>
    </w:tbl>
    <w:p w:rsidR="00677A28" w:rsidRPr="00677A28" w:rsidRDefault="00677A28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:rsidR="00677A28" w:rsidRDefault="00677A28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:rsidR="00677A28" w:rsidRDefault="00FA034C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Ecos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– 2015 / 03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A034C" w:rsidTr="00FA034C">
        <w:tc>
          <w:tcPr>
            <w:tcW w:w="1869" w:type="dxa"/>
          </w:tcPr>
          <w:p w:rsidR="00FA034C" w:rsidRDefault="00FA034C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6 – c </w:t>
            </w:r>
          </w:p>
        </w:tc>
        <w:tc>
          <w:tcPr>
            <w:tcW w:w="1869" w:type="dxa"/>
          </w:tcPr>
          <w:p w:rsidR="00FA034C" w:rsidRDefault="00FA034C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7 – b </w:t>
            </w:r>
          </w:p>
        </w:tc>
        <w:tc>
          <w:tcPr>
            <w:tcW w:w="1869" w:type="dxa"/>
          </w:tcPr>
          <w:p w:rsidR="00FA034C" w:rsidRDefault="00FA034C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8 – c </w:t>
            </w:r>
          </w:p>
        </w:tc>
        <w:tc>
          <w:tcPr>
            <w:tcW w:w="1869" w:type="dxa"/>
          </w:tcPr>
          <w:p w:rsidR="00FA034C" w:rsidRDefault="00FA034C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9 – c </w:t>
            </w:r>
          </w:p>
        </w:tc>
        <w:tc>
          <w:tcPr>
            <w:tcW w:w="1869" w:type="dxa"/>
          </w:tcPr>
          <w:p w:rsidR="00FA034C" w:rsidRDefault="00FA034C" w:rsidP="001B4C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10 – a </w:t>
            </w:r>
          </w:p>
        </w:tc>
      </w:tr>
    </w:tbl>
    <w:p w:rsidR="00FA034C" w:rsidRPr="00FA034C" w:rsidRDefault="00FA034C" w:rsidP="001B4C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sectPr w:rsidR="00FA034C" w:rsidRPr="00FA034C" w:rsidSect="001506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B08" w:rsidRDefault="00026B08" w:rsidP="00677A28">
      <w:pPr>
        <w:spacing w:after="0" w:line="240" w:lineRule="auto"/>
      </w:pPr>
      <w:r>
        <w:separator/>
      </w:r>
    </w:p>
  </w:endnote>
  <w:endnote w:type="continuationSeparator" w:id="0">
    <w:p w:rsidR="00026B08" w:rsidRDefault="00026B08" w:rsidP="0067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B08" w:rsidRDefault="00026B08" w:rsidP="00677A28">
      <w:pPr>
        <w:spacing w:after="0" w:line="240" w:lineRule="auto"/>
      </w:pPr>
      <w:r>
        <w:separator/>
      </w:r>
    </w:p>
  </w:footnote>
  <w:footnote w:type="continuationSeparator" w:id="0">
    <w:p w:rsidR="00026B08" w:rsidRDefault="00026B08" w:rsidP="00677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F1F34"/>
    <w:multiLevelType w:val="hybridMultilevel"/>
    <w:tmpl w:val="A8C0672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826CD"/>
    <w:multiLevelType w:val="hybridMultilevel"/>
    <w:tmpl w:val="6492C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4E"/>
    <w:rsid w:val="00026B08"/>
    <w:rsid w:val="00140191"/>
    <w:rsid w:val="001506AD"/>
    <w:rsid w:val="001B4CEE"/>
    <w:rsid w:val="00677A28"/>
    <w:rsid w:val="00870EEE"/>
    <w:rsid w:val="009A2415"/>
    <w:rsid w:val="00A26A4E"/>
    <w:rsid w:val="00AF4999"/>
    <w:rsid w:val="00DD0070"/>
    <w:rsid w:val="00E67C51"/>
    <w:rsid w:val="00FA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45A1A-61AB-45D0-978C-1F055683E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6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2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67C51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870EEE"/>
    <w:rPr>
      <w:b/>
      <w:bCs/>
    </w:rPr>
  </w:style>
  <w:style w:type="paragraph" w:styleId="a6">
    <w:name w:val="List Paragraph"/>
    <w:basedOn w:val="a"/>
    <w:uiPriority w:val="34"/>
    <w:qFormat/>
    <w:rsid w:val="00870EE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77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7A28"/>
  </w:style>
  <w:style w:type="paragraph" w:styleId="a9">
    <w:name w:val="footer"/>
    <w:basedOn w:val="a"/>
    <w:link w:val="aa"/>
    <w:uiPriority w:val="99"/>
    <w:unhideWhenUsed/>
    <w:rsid w:val="00677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7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nlimitedspanish.com/382-el-fascinante-origen-del-nombre-de-espa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Есения Гребенкина</dc:creator>
  <cp:keywords/>
  <dc:description/>
  <cp:lastModifiedBy>Есения Гребенкина</cp:lastModifiedBy>
  <cp:revision>2</cp:revision>
  <dcterms:created xsi:type="dcterms:W3CDTF">2024-10-18T17:40:00Z</dcterms:created>
  <dcterms:modified xsi:type="dcterms:W3CDTF">2024-10-18T20:32:00Z</dcterms:modified>
</cp:coreProperties>
</file>