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ВЫПОЛНЕННЫХ ОЛИМПИАДНЫХ ЗАДАНИЙ ПРАКТИЧЕСКОГО ТУРА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 w:rsidR="00884911"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6156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46156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1A1AEC" w:rsidRPr="00D03EBF" w:rsidRDefault="001A1AEC" w:rsidP="001A1AE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По практическому туру максимальная оценка результатов участника составляет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100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b/>
          <w:bCs/>
          <w:sz w:val="24"/>
          <w:szCs w:val="24"/>
        </w:rPr>
        <w:t>баллов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Участник имеет право не выполнять задания, при этом </w:t>
      </w: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невыполненное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задание ему начисляется 0 баллов. Любое задание считается выполненным при оценке более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0 баллов.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Время выполнения каждого задания фиксируется с использованием 2 секундомеров,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один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из которых включает и останавливает сам участник (основной секундомер), а второй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член жюри (дублирующий секундомер). Время, затраченное на выполнение задания,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определяется по секундомеру участника. Если участник не зафиксировал время выполнения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задания, то время, затраченное на выполнение задания, определяется по секундомеру члена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жюри.</w:t>
      </w:r>
    </w:p>
    <w:p w:rsidR="00461565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Если выполнение задания прервано по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требованию члена жюри, не связанному с нарушениями со стороны участника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получает право на повторное выполнение данного задания.</w:t>
      </w:r>
    </w:p>
    <w:p w:rsidR="00461565" w:rsidRDefault="00461565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34" w:rsidRPr="001B688F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F96834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0D7C9D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</w:t>
      </w:r>
      <w:r w:rsidR="006F48D2">
        <w:rPr>
          <w:rFonts w:ascii="Times New Roman" w:eastAsia="TimesNewRomanPSMT" w:hAnsi="Times New Roman" w:cs="Times New Roman"/>
          <w:sz w:val="24"/>
          <w:szCs w:val="24"/>
        </w:rPr>
        <w:t>, которые натянуты на высоте 5-10 см над полом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D5F9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F93ACE" w:rsidRPr="001B688F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7CDB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51" style="position:absolute;margin-left:184.45pt;margin-top:41.3pt;width:1in;height:3.55pt;rotation:2985616fd;z-index:251686912"/>
        </w:pict>
      </w:r>
      <w:r w:rsidRPr="00247CDB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50" style="position:absolute;margin-left:214.95pt;margin-top:41.3pt;width:1in;height:3.55pt;rotation:2985616fd;z-index:251685888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192.45pt;margin-top:1.45pt;width:36.25pt;height:3.55pt;z-index:25167052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5" style="position:absolute;margin-left:271.2pt;margin-top:53pt;width:5.5pt;height:1in;z-index:25166950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4" style="position:absolute;margin-left:259.2pt;margin-top:41pt;width:5.5pt;height:1in;z-index:25166848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3" style="position:absolute;margin-left:247.2pt;margin-top:29pt;width:5.5pt;height:1in;z-index:25166745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2" style="position:absolute;margin-left:235.2pt;margin-top:17pt;width:5.5pt;height:1in;z-index:25166643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1" style="position:absolute;margin-left:223.2pt;margin-top:5pt;width:5.5pt;height:1in;z-index:251665408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6" style="position:absolute;margin-left:185.7pt;margin-top:6.8pt;width:18pt;height:20.4pt;rotation:13116923fd;z-index:251688960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5" style="position:absolute;margin-left:185.7pt;margin-top:3.2pt;width:18pt;height:20.4pt;rotation:13116923fd;z-index:251687936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margin-left:167.3pt;margin-top:10.45pt;width:52.65pt;height:38.15pt;rotation:38573957fd;z-index:251664384" adj="13896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57" type="#_x0000_t11" style="position:absolute;margin-left:193.2pt;margin-top:8.15pt;width:7.5pt;height:8.7pt;z-index:251689984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7" style="position:absolute;margin-left:206.05pt;margin-top:8.15pt;width:4.5pt;height:29.55pt;z-index:25166131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9" style="position:absolute;margin-left:170.05pt;margin-top:8.15pt;width:4.5pt;height:29.55pt;z-index:25166336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2" type="#_x0000_t16" style="position:absolute;margin-left:186.25pt;margin-top:-3.65pt;width:16.2pt;height:26.25pt;rotation:270;z-index:251676672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8" style="position:absolute;margin-left:181.2pt;margin-top:3.8pt;width:4.5pt;height:29.55pt;z-index:2516623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6" style="position:absolute;margin-left:214.15pt;margin-top:3.8pt;width:4.5pt;height:29.55pt;z-index:25166028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9" style="position:absolute;margin-left:240.45pt;margin-top:11.6pt;width:36.25pt;height:3.55pt;z-index:251683840"/>
        </w:pict>
      </w:r>
    </w:p>
    <w:p w:rsidR="00F96834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223.2pt;margin-top:.65pt;width:48pt;height:49.7pt;z-index:25169100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6" type="#_x0000_t32" style="position:absolute;margin-left:176.75pt;margin-top:8pt;width:46.5pt;height:49.65pt;z-index:25168486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0;height:7.35pt;z-index:25167974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4" type="#_x0000_t32" style="position:absolute;margin-left:176.7pt;margin-top:.65pt;width:46.5pt;height:49.65pt;z-index:2516787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7" type="#_x0000_t32" style="position:absolute;margin-left:176.7pt;margin-top:.65pt;width:46.5pt;height:0;flip:x;z-index:25167155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8" type="#_x0000_t32" style="position:absolute;margin-left:188.7pt;margin-top:13.55pt;width:46.5pt;height:0;flip:x;z-index:251672576" o:connectortype="straight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9" type="#_x0000_t32" style="position:absolute;margin-left:200.7pt;margin-top:11.75pt;width:46.5pt;height:0;flip:x;z-index:251673600" o:connectortype="straight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0" type="#_x0000_t32" style="position:absolute;margin-left:212.7pt;margin-top:9.95pt;width:46.5pt;height:0;flip:x;z-index:251674624" o:connectortype="straight"/>
        </w:pict>
      </w:r>
    </w:p>
    <w:p w:rsidR="00F96834" w:rsidRDefault="00247CDB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3" type="#_x0000_t32" style="position:absolute;margin-left:223.2pt;margin-top:8.95pt;width:.05pt;height:5.7pt;z-index:251677696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1" type="#_x0000_t32" style="position:absolute;margin-left:223.2pt;margin-top:8.95pt;width:46.5pt;height:0;flip:x;z-index:251675648" o:connectortype="straight"/>
        </w:pic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</w:t>
      </w:r>
      <w:r w:rsidR="007F5760">
        <w:rPr>
          <w:rFonts w:ascii="Times New Roman" w:eastAsia="TimesNewRomanPSMT" w:hAnsi="Times New Roman" w:cs="Times New Roman"/>
          <w:sz w:val="24"/>
          <w:szCs w:val="24"/>
        </w:rPr>
        <w:t>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переправляется к аптечке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343A49" w:rsidRPr="001B688F" w:rsidRDefault="00343A49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461565" w:rsidRDefault="00461565" w:rsidP="0046156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959"/>
        <w:gridCol w:w="6520"/>
        <w:gridCol w:w="2092"/>
      </w:tblGrid>
      <w:tr w:rsidR="00461565" w:rsidTr="00923011">
        <w:tc>
          <w:tcPr>
            <w:tcW w:w="959" w:type="dxa"/>
          </w:tcPr>
          <w:p w:rsidR="00461565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461565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46156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Касание ногами «растяжки»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Превышение контрольного времени прохождения 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балла за каждые 10 сек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аптечки в опасную зону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</w:tbl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65" w:rsidRDefault="00461565" w:rsidP="00343A49">
      <w:pPr>
        <w:rPr>
          <w:rFonts w:ascii="Times New Roman" w:hAnsi="Times New Roman" w:cs="Times New Roman"/>
          <w:b/>
          <w:sz w:val="24"/>
          <w:szCs w:val="24"/>
        </w:rPr>
      </w:pPr>
    </w:p>
    <w:p w:rsidR="00343A49" w:rsidRPr="00D0528D" w:rsidRDefault="00343A49" w:rsidP="00343A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2. </w:t>
      </w:r>
      <w:r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пострадавшим.</w:t>
      </w:r>
    </w:p>
    <w:p w:rsidR="00343A49" w:rsidRPr="00880025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247CDB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5" type="#_x0000_t32" style="position:absolute;margin-left:271.95pt;margin-top:7.65pt;width:58.5pt;height:0;z-index:251697152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3" style="position:absolute;margin-left:301.95pt;margin-top:7.65pt;width:7.95pt;height:36.5pt;z-index:251695104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247CDB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1" type="#_x0000_t16" style="position:absolute;margin-left:236.95pt;margin-top:10.7pt;width:27.75pt;height:167.2pt;rotation:109066722fd;z-index:251693056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5" type="#_x0000_t32" style="position:absolute;margin-left:289.1pt;margin-top:10.7pt;width:12.85pt;height:5.85pt;flip:x;z-index:251707392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70.2pt;margin-top:3.3pt;width:26.25pt;height:23.25pt;z-index:251699200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8" type="#_x0000_t202" style="position:absolute;margin-left:161.7pt;margin-top:3.3pt;width:26.25pt;height:23.25pt;z-index:251700224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9" type="#_x0000_t202" style="position:absolute;margin-left:219.45pt;margin-top:3.3pt;width:26.25pt;height:23.25pt;z-index:251701248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0" type="#_x0000_t202" style="position:absolute;margin-left:262.85pt;margin-top:3.3pt;width:26.25pt;height:23.25pt;z-index:251702272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1" type="#_x0000_t202" style="position:absolute;margin-left:350.25pt;margin-top:3.3pt;width:26.25pt;height:23.25pt;z-index:251703296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2" type="#_x0000_t202" style="position:absolute;margin-left:399.45pt;margin-top:3.3pt;width:26.25pt;height:23.25pt;z-index:251704320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343A49" w:rsidRDefault="00247CDB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3" type="#_x0000_t32" style="position:absolute;margin-left:399.45pt;margin-top:12.75pt;width:6.75pt;height:56.45pt;z-index:25170534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4" type="#_x0000_t32" style="position:absolute;margin-left:360.75pt;margin-top:12.75pt;width:22.95pt;height:116.45pt;z-index:25170636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8" type="#_x0000_t32" style="position:absolute;margin-left:82.95pt;margin-top:12.75pt;width:40.5pt;height:73.7pt;z-index:25171046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6" type="#_x0000_t32" style="position:absolute;margin-left:230.7pt;margin-top:12.75pt;width:71.25pt;height:105.8pt;z-index:25170841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7" type="#_x0000_t32" style="position:absolute;margin-left:183.05pt;margin-top:12.75pt;width:40.2pt;height:87.2pt;z-index:251709440" o:connectortype="straight"/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247CDB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4" style="position:absolute;margin-left:360.75pt;margin-top:8pt;width:79.2pt;height:53.35pt;z-index:251696128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2" type="#_x0000_t16" style="position:absolute;margin-left:27.05pt;margin-top:8.85pt;width:311.25pt;height:14.25pt;rotation:-865243fd;z-index:251694080"/>
        </w:pic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247CDB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6" style="position:absolute;margin-left:357pt;margin-top:21.95pt;width:82.95pt;height:30.75pt;z-index:251698176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43A49"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3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Над завалом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>
        <w:rPr>
          <w:rFonts w:ascii="Times New Roman" w:eastAsia="TimesNewRomanPSMT" w:hAnsi="Times New Roman" w:cs="Times New Roman"/>
          <w:sz w:val="24"/>
          <w:szCs w:val="24"/>
        </w:rPr>
        <w:t>Останавливает секундомер.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343A49" w:rsidRPr="00773728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343A49" w:rsidRDefault="00343A49" w:rsidP="00343A4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615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959"/>
        <w:gridCol w:w="6520"/>
        <w:gridCol w:w="2092"/>
      </w:tblGrid>
      <w:tr w:rsidR="002B201F" w:rsidTr="00BE58BF">
        <w:tc>
          <w:tcPr>
            <w:tcW w:w="959" w:type="dxa"/>
          </w:tcPr>
          <w:p w:rsidR="002B201F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2B201F" w:rsidRPr="00F254D0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2B201F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1643E5" w:rsidRDefault="001643E5" w:rsidP="008849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643E5">
              <w:rPr>
                <w:rFonts w:ascii="Times New Roman" w:hAnsi="Times New Roman" w:cs="Times New Roman"/>
                <w:sz w:val="24"/>
                <w:szCs w:val="24"/>
              </w:rPr>
              <w:t>Элементы разрушенной конструкции, мешающие доступу к пострадавшему, не приподняты и/или не закреплены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опасного элемента разрушенной конструкции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без использования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полиспаста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1 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но не менее 50 см и закреплён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50 см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 закреплён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е завязан контрольный узел (за каждый)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2C548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</w:tbl>
    <w:p w:rsidR="002B201F" w:rsidRDefault="002B201F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пострадавшим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49" w:rsidRPr="00773728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773728">
        <w:rPr>
          <w:rFonts w:ascii="Times New Roman" w:hAnsi="Times New Roman" w:cs="Times New Roman"/>
          <w:sz w:val="24"/>
          <w:szCs w:val="24"/>
        </w:rPr>
        <w:t xml:space="preserve"> робот-тренажёр с режимом «сердечно-лёгочная реанимация» с индикацией правильных и ошибочных действий, статист, коврик туристический – 4 шт.</w:t>
      </w:r>
      <w:r w:rsidR="004D225A">
        <w:rPr>
          <w:rFonts w:ascii="Times New Roman" w:hAnsi="Times New Roman" w:cs="Times New Roman"/>
          <w:sz w:val="24"/>
          <w:szCs w:val="24"/>
        </w:rPr>
        <w:t xml:space="preserve">, </w:t>
      </w:r>
      <w:r w:rsidR="002B201F">
        <w:rPr>
          <w:rFonts w:ascii="Times New Roman" w:hAnsi="Times New Roman" w:cs="Times New Roman"/>
          <w:sz w:val="24"/>
          <w:szCs w:val="24"/>
        </w:rPr>
        <w:t xml:space="preserve">телефон, табличка с адресом, </w:t>
      </w:r>
      <w:r w:rsidR="004D225A">
        <w:rPr>
          <w:rFonts w:ascii="Times New Roman" w:hAnsi="Times New Roman" w:cs="Times New Roman"/>
          <w:sz w:val="24"/>
          <w:szCs w:val="24"/>
        </w:rPr>
        <w:t>карточки с заданием.</w:t>
      </w:r>
      <w:r w:rsidRPr="0077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49" w:rsidRPr="009028D3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8D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9028D3">
        <w:rPr>
          <w:rFonts w:ascii="Times New Roman" w:hAnsi="Times New Roman" w:cs="Times New Roman"/>
          <w:sz w:val="24"/>
          <w:szCs w:val="24"/>
        </w:rPr>
        <w:t xml:space="preserve"> на земле лежат два человека без признаков жизни. Необходимо оказать им первую помощь.</w:t>
      </w:r>
    </w:p>
    <w:p w:rsidR="00343A49" w:rsidRDefault="00343A49" w:rsidP="00343A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676C0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</w:t>
      </w:r>
      <w:r w:rsidR="00676C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 (участник должен сказать «обстановка безопасна» или подобное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- проведение обзорного осмотра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пострадавших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для выявления продолжающегося наружного кровотечения («кровотечение отсутствует»);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сознания («Что случилось?</w:t>
      </w:r>
      <w:proofErr w:type="gramEnd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Вам помочь?», аккуратно потормошить за плечи);</w:t>
      </w:r>
      <w:proofErr w:type="gramEnd"/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восстановление проходимости дыхательных путей посредством запрокидывания головы с подъемом подбородка;</w:t>
      </w:r>
    </w:p>
    <w:p w:rsidR="00676C09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дыхания с помощью слуха, зрения и осязания (дыхание есть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, дыхания нет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- </w:t>
      </w:r>
      <w:r w:rsidR="008849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 </w:t>
      </w:r>
      <w:r w:rsidRPr="00676C09">
        <w:rPr>
          <w:rFonts w:ascii="Times New Roman" w:hAnsi="Times New Roman" w:cs="Times New Roman"/>
          <w:b/>
          <w:i/>
          <w:sz w:val="24"/>
          <w:szCs w:val="24"/>
        </w:rPr>
        <w:t xml:space="preserve">течение 1 минуты выполняет </w:t>
      </w:r>
      <w:proofErr w:type="spellStart"/>
      <w:r w:rsidRPr="00676C09">
        <w:rPr>
          <w:rFonts w:ascii="Times New Roman" w:hAnsi="Times New Roman" w:cs="Times New Roman"/>
          <w:b/>
          <w:i/>
          <w:sz w:val="24"/>
          <w:szCs w:val="24"/>
        </w:rPr>
        <w:t>безвентиляционную</w:t>
      </w:r>
      <w:proofErr w:type="spellEnd"/>
      <w:r w:rsidRPr="00676C09">
        <w:rPr>
          <w:rFonts w:ascii="Times New Roman" w:hAnsi="Times New Roman" w:cs="Times New Roman"/>
          <w:b/>
          <w:i/>
          <w:sz w:val="24"/>
          <w:szCs w:val="24"/>
        </w:rPr>
        <w:t xml:space="preserve"> сердечно-лёгочную реанимацию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первому пострадавшему (ИВЛ не проводить);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выполнение мероприятий по поддержанию проходимости дыхательных путей посредством придания пострадавшему устойчивого бокового положения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8849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пострадавшим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343A49" w:rsidRDefault="00676C09" w:rsidP="00676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вызов скорой медицинской помощи.</w:t>
      </w:r>
      <w:r w:rsidRPr="00B05D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07DEC" w:rsidRDefault="00307DEC" w:rsidP="00676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каждого пострадавшего проводим полный комплекс оказания первой помощи (сначала одному, потом второму). Очередность (кому первому, кому второму) не учитывается.</w:t>
      </w:r>
    </w:p>
    <w:p w:rsidR="007210CC" w:rsidRDefault="007210CC" w:rsidP="00721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7210CC" w:rsidRPr="00773728" w:rsidRDefault="007210CC" w:rsidP="00721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 минут</w:t>
      </w:r>
    </w:p>
    <w:p w:rsidR="007210CC" w:rsidRDefault="007210CC" w:rsidP="007210C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615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30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7210CC" w:rsidRPr="00676C09" w:rsidRDefault="007210CC" w:rsidP="00676C09">
      <w:pPr>
        <w:autoSpaceDE w:val="0"/>
        <w:autoSpaceDN w:val="0"/>
        <w:adjustRightInd w:val="0"/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1"/>
      </w:tblGrid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оценена обстановка </w:t>
            </w:r>
            <w:r w:rsidRPr="005E727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участник должен сказать «обстановка безопасна» или подобное)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обзорный осмотр пострадавшего («кровотечение отсутствует»)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определено наличие сознания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(«Что случилось?</w:t>
            </w:r>
            <w:proofErr w:type="gramEnd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Вам помочь?», аккуратно потормошить за плечи)</w:t>
            </w:r>
            <w:proofErr w:type="gramEnd"/>
          </w:p>
        </w:tc>
        <w:tc>
          <w:tcPr>
            <w:tcW w:w="3191" w:type="dxa"/>
          </w:tcPr>
          <w:p w:rsidR="007210CC" w:rsidRDefault="007210CC" w:rsidP="008849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7210CC" w:rsidRPr="0032080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запрокинута голова при определении дыхания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7210CC" w:rsidRPr="0032080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определено (не правильно определялось) наличие дыхания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Перелом мечевидного отростка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надавливаний на грудину пострадавшего (частота компрессий) за 1 минуту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100-120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3C65" w:rsidTr="00BE58BF">
        <w:tc>
          <w:tcPr>
            <w:tcW w:w="675" w:type="dxa"/>
          </w:tcPr>
          <w:p w:rsidR="00233C65" w:rsidRDefault="00233C65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33C65" w:rsidRPr="00233C65" w:rsidRDefault="00233C65" w:rsidP="00233C65">
            <w:pPr>
              <w:tabs>
                <w:tab w:val="left" w:pos="195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3191" w:type="dxa"/>
          </w:tcPr>
          <w:p w:rsidR="00233C65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233C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233C65">
            <w:pPr>
              <w:tabs>
                <w:tab w:val="left" w:pos="17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59 и менее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Пострадавший не переведен в устойчивое боковое положение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Причинение вреда пострадавшему при переводе в устойчивое боковое положение</w:t>
            </w:r>
          </w:p>
        </w:tc>
        <w:tc>
          <w:tcPr>
            <w:tcW w:w="3191" w:type="dxa"/>
          </w:tcPr>
          <w:p w:rsidR="007210CC" w:rsidRDefault="007210CC" w:rsidP="008849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назван адрес, причина вызова «Скорой помощи», количество пострадавших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0CE1" w:rsidTr="00BE58BF">
        <w:tc>
          <w:tcPr>
            <w:tcW w:w="675" w:type="dxa"/>
          </w:tcPr>
          <w:p w:rsidR="007D0CE1" w:rsidRDefault="007D0CE1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7D0CE1" w:rsidRDefault="007D0CE1" w:rsidP="00A71D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оказана (неверно оказана) первая помощь</w:t>
            </w:r>
          </w:p>
        </w:tc>
        <w:tc>
          <w:tcPr>
            <w:tcW w:w="3191" w:type="dxa"/>
          </w:tcPr>
          <w:p w:rsidR="007D0CE1" w:rsidRPr="00204582" w:rsidRDefault="007D0CE1" w:rsidP="00A71D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</w:tbl>
    <w:p w:rsidR="00233C65" w:rsidRDefault="00233C65" w:rsidP="007210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0CC" w:rsidRPr="003512EC" w:rsidRDefault="00233C65" w:rsidP="007210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* за каждого пострадавшего </w:t>
      </w:r>
    </w:p>
    <w:p w:rsidR="008011D8" w:rsidRDefault="008011D8"/>
    <w:p w:rsidR="007210CC" w:rsidRPr="008709CE" w:rsidRDefault="007210CC" w:rsidP="007210CC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7210CC" w:rsidRPr="008709CE" w:rsidRDefault="007210CC" w:rsidP="007210CC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7210CC" w:rsidRPr="008709CE" w:rsidRDefault="007210CC" w:rsidP="007210CC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7210CC" w:rsidRPr="008709CE" w:rsidRDefault="007210CC" w:rsidP="007210CC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7210CC" w:rsidRDefault="009921E9" w:rsidP="007210CC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="007210CC"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9921E9" w:rsidRDefault="009921E9" w:rsidP="007210CC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9921E9" w:rsidRPr="009921E9" w:rsidRDefault="009921E9" w:rsidP="007210CC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7210CC" w:rsidRPr="008709CE" w:rsidRDefault="007210CC" w:rsidP="007210CC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 w:rsidR="00461565">
        <w:rPr>
          <w:b/>
          <w:bCs/>
          <w:i/>
          <w:iCs/>
          <w:color w:val="auto"/>
        </w:rPr>
        <w:t>15</w:t>
      </w:r>
      <w:r w:rsidRPr="008709CE">
        <w:rPr>
          <w:b/>
          <w:bCs/>
          <w:i/>
          <w:iCs/>
          <w:color w:val="auto"/>
        </w:rPr>
        <w:t xml:space="preserve"> баллов. </w:t>
      </w: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7210CC" w:rsidRPr="008709CE" w:rsidTr="00BE58BF">
        <w:tc>
          <w:tcPr>
            <w:tcW w:w="817" w:type="dxa"/>
          </w:tcPr>
          <w:p w:rsidR="007210CC" w:rsidRPr="008709CE" w:rsidRDefault="007210CC" w:rsidP="00BE58BF">
            <w:pPr>
              <w:pStyle w:val="Default"/>
            </w:pPr>
            <w:r w:rsidRPr="008709CE">
              <w:t xml:space="preserve">№ </w:t>
            </w:r>
            <w:proofErr w:type="spellStart"/>
            <w:proofErr w:type="gramStart"/>
            <w:r w:rsidRPr="008709CE">
              <w:t>п</w:t>
            </w:r>
            <w:proofErr w:type="spellEnd"/>
            <w:proofErr w:type="gramEnd"/>
            <w:r w:rsidRPr="008709CE">
              <w:t>/</w:t>
            </w:r>
            <w:proofErr w:type="spellStart"/>
            <w:r w:rsidRPr="008709CE">
              <w:t>п</w:t>
            </w:r>
            <w:proofErr w:type="spellEnd"/>
            <w:r w:rsidRPr="008709CE">
              <w:t xml:space="preserve"> </w:t>
            </w:r>
          </w:p>
        </w:tc>
        <w:tc>
          <w:tcPr>
            <w:tcW w:w="5563" w:type="dxa"/>
          </w:tcPr>
          <w:p w:rsidR="007210CC" w:rsidRPr="008709CE" w:rsidRDefault="007210CC" w:rsidP="00BE58BF">
            <w:pPr>
              <w:pStyle w:val="Default"/>
            </w:pPr>
            <w:r w:rsidRPr="008709CE"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7210CC" w:rsidRPr="008709CE" w:rsidRDefault="007210CC" w:rsidP="00BE58BF">
            <w:pPr>
              <w:pStyle w:val="Default"/>
            </w:pPr>
            <w:r w:rsidRPr="008709CE">
              <w:t xml:space="preserve">Штраф (баллы) 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1.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надеты краги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2.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застегнут ремешок каски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5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3.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застегнут ремень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10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4.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застегнуты застёжки («крокодилы») на </w:t>
            </w:r>
            <w:proofErr w:type="spellStart"/>
            <w:r w:rsidRPr="008709CE">
              <w:t>боёвке</w:t>
            </w:r>
            <w:proofErr w:type="spellEnd"/>
            <w:r w:rsidRPr="008709CE">
              <w:t xml:space="preserve"> (за каждый)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5.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надета каска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10</w:t>
            </w:r>
          </w:p>
        </w:tc>
      </w:tr>
      <w:tr w:rsidR="007E356B" w:rsidRPr="008709CE" w:rsidTr="00BE58BF">
        <w:tc>
          <w:tcPr>
            <w:tcW w:w="817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6. </w:t>
            </w:r>
          </w:p>
        </w:tc>
        <w:tc>
          <w:tcPr>
            <w:tcW w:w="5563" w:type="dxa"/>
          </w:tcPr>
          <w:p w:rsidR="007E356B" w:rsidRPr="008709CE" w:rsidRDefault="007E356B" w:rsidP="00BE58BF">
            <w:pPr>
              <w:pStyle w:val="Default"/>
            </w:pPr>
            <w:r w:rsidRPr="008709CE">
              <w:t xml:space="preserve">Не надета боевая одежда пожарного </w:t>
            </w:r>
          </w:p>
        </w:tc>
        <w:tc>
          <w:tcPr>
            <w:tcW w:w="3191" w:type="dxa"/>
          </w:tcPr>
          <w:p w:rsidR="007E356B" w:rsidRPr="008709CE" w:rsidRDefault="007E356B" w:rsidP="002578BD">
            <w:pPr>
              <w:pStyle w:val="Default"/>
            </w:pPr>
            <w:r>
              <w:t>15</w:t>
            </w:r>
            <w:r w:rsidRPr="008709CE">
              <w:t xml:space="preserve"> </w:t>
            </w:r>
          </w:p>
        </w:tc>
      </w:tr>
    </w:tbl>
    <w:p w:rsidR="007210CC" w:rsidRPr="008709CE" w:rsidRDefault="007210CC" w:rsidP="007210CC">
      <w:pPr>
        <w:pStyle w:val="Default"/>
        <w:rPr>
          <w:color w:val="auto"/>
        </w:rPr>
      </w:pPr>
    </w:p>
    <w:p w:rsidR="004B5A6C" w:rsidRDefault="004B5A6C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5A6C" w:rsidRDefault="004B5A6C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5A6C" w:rsidRDefault="004B5A6C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5A6C" w:rsidRDefault="004B5A6C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. Стрельба по мишеням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proofErr w:type="spellStart"/>
      <w:r w:rsidRPr="00066489">
        <w:rPr>
          <w:rFonts w:ascii="Times New Roman" w:eastAsia="TimesNewRomanPSMT" w:hAnsi="Times New Roman" w:cs="Times New Roman"/>
          <w:sz w:val="24"/>
          <w:szCs w:val="24"/>
        </w:rPr>
        <w:t>пулеулавливатель</w:t>
      </w:r>
      <w:proofErr w:type="spellEnd"/>
      <w:r w:rsidRPr="00066489">
        <w:rPr>
          <w:rFonts w:ascii="Times New Roman" w:eastAsia="TimesNewRomanPSMT" w:hAnsi="Times New Roman" w:cs="Times New Roman"/>
          <w:sz w:val="24"/>
          <w:szCs w:val="24"/>
        </w:rPr>
        <w:t>, мишень биатлонная</w:t>
      </w:r>
      <w:r w:rsidRPr="00066489">
        <w:rPr>
          <w:rFonts w:ascii="Times New Roman" w:hAnsi="Times New Roman" w:cs="Times New Roman"/>
          <w:sz w:val="24"/>
          <w:szCs w:val="24"/>
        </w:rPr>
        <w:t xml:space="preserve">,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разметочная лента, мат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066489">
        <w:rPr>
          <w:rFonts w:ascii="Times New Roman" w:eastAsia="TimesNewRomanPSMT" w:hAnsi="Times New Roman" w:cs="Times New Roman"/>
          <w:sz w:val="24"/>
          <w:szCs w:val="24"/>
        </w:rPr>
        <w:t>гимнастический</w:t>
      </w:r>
      <w:proofErr w:type="gramEnd"/>
      <w:r w:rsidRPr="00066489">
        <w:rPr>
          <w:rFonts w:ascii="Times New Roman" w:eastAsia="TimesNewRomanPSMT" w:hAnsi="Times New Roman" w:cs="Times New Roman"/>
          <w:sz w:val="24"/>
          <w:szCs w:val="24"/>
        </w:rPr>
        <w:t>, винтовка пневматическая с открытым прицелом, пристрелянная под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нижний срез мишени, пули к пневматической винтовке.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на площадке выполнения задания обозначен огневой рубеж и линия огня,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установлена мишень. На огневом рубеже лежит мат гимнастический</w:t>
      </w:r>
      <w:r w:rsidRPr="00066489">
        <w:rPr>
          <w:rFonts w:ascii="Times New Roman" w:hAnsi="Times New Roman" w:cs="Times New Roman"/>
          <w:sz w:val="24"/>
          <w:szCs w:val="24"/>
        </w:rPr>
        <w:t xml:space="preserve">,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на котором находятся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винтовка пневматическая и 7 пуль. Участнику необходимо переместиться на огневой рубеж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и произвести стрельбу по мишени (количество выстрелов не более 7). Результат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определяется попаданием/непопаданием в мишень. Положение для стрельбы – «Лёжа»,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расстояние для мишени 10 м.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о команде члена жюри – «Огонь!» берёт секундомер, включает отсчёт времени, кладёт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секундомер в установленное жюри место.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3. Производит поражение мишени.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истечении контрольного времени по 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команде члена жюри – «Стой!» или «Стой! Прекратить огонь» прекращает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выполнение упражнения.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8A5BB7" w:rsidRPr="00066489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– для девушек –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2 минуты</w:t>
      </w:r>
      <w:r w:rsidRPr="0006648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30 секунд;</w:t>
      </w:r>
    </w:p>
    <w:p w:rsidR="008A5BB7" w:rsidRDefault="008A5BB7" w:rsidP="008A5B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– для юношей –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2</w:t>
      </w:r>
      <w:r w:rsidRPr="0006648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ми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нуты</w:t>
      </w:r>
      <w:r w:rsidRPr="0006648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20 секунд.</w:t>
      </w:r>
    </w:p>
    <w:p w:rsidR="008A5BB7" w:rsidRPr="00456624" w:rsidRDefault="008A5BB7" w:rsidP="008A5BB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615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959"/>
        <w:gridCol w:w="6520"/>
        <w:gridCol w:w="2092"/>
      </w:tblGrid>
      <w:tr w:rsidR="008A5BB7" w:rsidTr="00923011">
        <w:tc>
          <w:tcPr>
            <w:tcW w:w="959" w:type="dxa"/>
          </w:tcPr>
          <w:p w:rsidR="008A5BB7" w:rsidRDefault="008A5BB7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8A5BB7" w:rsidRPr="00F254D0" w:rsidRDefault="008A5BB7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8A5BB7" w:rsidRPr="00F254D0" w:rsidRDefault="008A5BB7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8A5BB7" w:rsidRDefault="008A5BB7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8A5BB7" w:rsidTr="00923011">
        <w:tc>
          <w:tcPr>
            <w:tcW w:w="959" w:type="dxa"/>
          </w:tcPr>
          <w:p w:rsidR="008A5BB7" w:rsidRPr="004B202C" w:rsidRDefault="008A5BB7" w:rsidP="008A5BB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8A5BB7" w:rsidRPr="003D4B82" w:rsidRDefault="008A5BB7" w:rsidP="00923011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D4B82">
              <w:rPr>
                <w:rFonts w:ascii="Times New Roman" w:eastAsia="TimesNewRomanPSMT" w:hAnsi="Times New Roman" w:cs="Times New Roman"/>
                <w:sz w:val="24"/>
                <w:szCs w:val="24"/>
              </w:rPr>
              <w:t>Оружие направлено на людей</w:t>
            </w:r>
          </w:p>
        </w:tc>
        <w:tc>
          <w:tcPr>
            <w:tcW w:w="2092" w:type="dxa"/>
          </w:tcPr>
          <w:p w:rsidR="008A5BB7" w:rsidRPr="00F254D0" w:rsidRDefault="008A5BB7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</w:t>
            </w:r>
          </w:p>
        </w:tc>
      </w:tr>
      <w:tr w:rsidR="008A5BB7" w:rsidTr="00923011">
        <w:tc>
          <w:tcPr>
            <w:tcW w:w="959" w:type="dxa"/>
          </w:tcPr>
          <w:p w:rsidR="008A5BB7" w:rsidRPr="004B202C" w:rsidRDefault="008A5BB7" w:rsidP="008A5BB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8A5BB7" w:rsidRPr="003D4B82" w:rsidRDefault="008A5BB7" w:rsidP="00923011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D4B82">
              <w:rPr>
                <w:rFonts w:ascii="Times New Roman" w:eastAsia="TimesNewRomanPSMT" w:hAnsi="Times New Roman" w:cs="Times New Roman"/>
                <w:sz w:val="24"/>
                <w:szCs w:val="24"/>
              </w:rPr>
              <w:t>За каждую непораженную мишень</w:t>
            </w:r>
            <w:r w:rsidR="0000293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 контрольное время</w:t>
            </w:r>
          </w:p>
        </w:tc>
        <w:tc>
          <w:tcPr>
            <w:tcW w:w="2092" w:type="dxa"/>
          </w:tcPr>
          <w:p w:rsidR="008A5BB7" w:rsidRPr="00F254D0" w:rsidRDefault="0000293B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</w:tr>
      <w:tr w:rsidR="00EC35CB" w:rsidTr="00923011">
        <w:tc>
          <w:tcPr>
            <w:tcW w:w="959" w:type="dxa"/>
          </w:tcPr>
          <w:p w:rsidR="00EC35CB" w:rsidRPr="004B202C" w:rsidRDefault="00EC35CB" w:rsidP="008A5BB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EC35CB" w:rsidRPr="00EC35CB" w:rsidRDefault="00EC35CB" w:rsidP="00EC35CB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C35CB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использовании электронного тира участник произвёл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35CB">
              <w:rPr>
                <w:rFonts w:ascii="Times New Roman" w:hAnsi="Times New Roman" w:cs="Times New Roman"/>
                <w:sz w:val="24"/>
                <w:szCs w:val="24"/>
              </w:rPr>
              <w:t xml:space="preserve"> выстрелов</w:t>
            </w:r>
          </w:p>
        </w:tc>
        <w:tc>
          <w:tcPr>
            <w:tcW w:w="2092" w:type="dxa"/>
          </w:tcPr>
          <w:p w:rsidR="00EC35CB" w:rsidRDefault="00EC35CB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</w:t>
            </w:r>
          </w:p>
        </w:tc>
      </w:tr>
    </w:tbl>
    <w:p w:rsidR="007210CC" w:rsidRDefault="007210CC">
      <w:pPr>
        <w:contextualSpacing/>
        <w:rPr>
          <w:sz w:val="24"/>
          <w:szCs w:val="24"/>
        </w:rPr>
      </w:pPr>
    </w:p>
    <w:p w:rsidR="0000293B" w:rsidRPr="00EC35CB" w:rsidRDefault="00EC35C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35CB">
        <w:rPr>
          <w:rFonts w:ascii="Times New Roman" w:hAnsi="Times New Roman" w:cs="Times New Roman"/>
          <w:b/>
          <w:sz w:val="24"/>
          <w:szCs w:val="24"/>
        </w:rPr>
        <w:t>П</w:t>
      </w:r>
      <w:r w:rsidR="0000293B" w:rsidRPr="00EC35CB">
        <w:rPr>
          <w:rFonts w:ascii="Times New Roman" w:hAnsi="Times New Roman" w:cs="Times New Roman"/>
          <w:b/>
          <w:sz w:val="24"/>
          <w:szCs w:val="24"/>
        </w:rPr>
        <w:t>римечание</w:t>
      </w:r>
      <w:r w:rsidRPr="00EC35C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C35C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действие Приказ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олимпиады допускается замена пневматических винтовок лазерными (электронными) тирами в этом случае установка </w:t>
      </w:r>
      <w:proofErr w:type="spellStart"/>
      <w:r w:rsidRPr="00EC35CB">
        <w:rPr>
          <w:rFonts w:ascii="Times New Roman" w:hAnsi="Times New Roman" w:cs="Times New Roman"/>
          <w:sz w:val="24"/>
          <w:szCs w:val="24"/>
        </w:rPr>
        <w:t>пулеулавливателей</w:t>
      </w:r>
      <w:proofErr w:type="spellEnd"/>
      <w:r w:rsidRPr="00EC35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C35CB">
        <w:rPr>
          <w:rFonts w:ascii="Times New Roman" w:hAnsi="Times New Roman" w:cs="Times New Roman"/>
          <w:sz w:val="24"/>
          <w:szCs w:val="24"/>
        </w:rPr>
        <w:t>антирикошетного</w:t>
      </w:r>
      <w:proofErr w:type="spellEnd"/>
      <w:r w:rsidRPr="00EC35CB">
        <w:rPr>
          <w:rFonts w:ascii="Times New Roman" w:hAnsi="Times New Roman" w:cs="Times New Roman"/>
          <w:sz w:val="24"/>
          <w:szCs w:val="24"/>
        </w:rPr>
        <w:t xml:space="preserve"> покрытия не требуется. </w:t>
      </w:r>
      <w:r w:rsidRPr="00EC35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0293B" w:rsidRPr="00EC35CB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A07E3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A107A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D123D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834"/>
    <w:rsid w:val="0000293B"/>
    <w:rsid w:val="000D7C9D"/>
    <w:rsid w:val="001643E5"/>
    <w:rsid w:val="00176D47"/>
    <w:rsid w:val="001A1AEC"/>
    <w:rsid w:val="001A3C82"/>
    <w:rsid w:val="00233C65"/>
    <w:rsid w:val="00247CDB"/>
    <w:rsid w:val="002B201F"/>
    <w:rsid w:val="002C548A"/>
    <w:rsid w:val="00307DEC"/>
    <w:rsid w:val="00343A49"/>
    <w:rsid w:val="00461565"/>
    <w:rsid w:val="004B5A6C"/>
    <w:rsid w:val="004D225A"/>
    <w:rsid w:val="004D5F90"/>
    <w:rsid w:val="005E2D8C"/>
    <w:rsid w:val="00600267"/>
    <w:rsid w:val="00676C09"/>
    <w:rsid w:val="006E5674"/>
    <w:rsid w:val="006F48D2"/>
    <w:rsid w:val="007210CC"/>
    <w:rsid w:val="00772552"/>
    <w:rsid w:val="007D0CE1"/>
    <w:rsid w:val="007E356B"/>
    <w:rsid w:val="007F5760"/>
    <w:rsid w:val="008011D8"/>
    <w:rsid w:val="008709CE"/>
    <w:rsid w:val="00884911"/>
    <w:rsid w:val="008A5BB7"/>
    <w:rsid w:val="008D27D7"/>
    <w:rsid w:val="00960D87"/>
    <w:rsid w:val="009921E9"/>
    <w:rsid w:val="009E5ADA"/>
    <w:rsid w:val="00AE752E"/>
    <w:rsid w:val="00B8652F"/>
    <w:rsid w:val="00C96C92"/>
    <w:rsid w:val="00CB48F3"/>
    <w:rsid w:val="00EC35CB"/>
    <w:rsid w:val="00F93ACE"/>
    <w:rsid w:val="00F96834"/>
    <w:rsid w:val="00FC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8" type="connector" idref="#_x0000_s1065"/>
        <o:r id="V:Rule19" type="connector" idref="#_x0000_s1043"/>
        <o:r id="V:Rule20" type="connector" idref="#_x0000_s1044"/>
        <o:r id="V:Rule21" type="connector" idref="#_x0000_s1073"/>
        <o:r id="V:Rule22" type="connector" idref="#_x0000_s1039"/>
        <o:r id="V:Rule23" type="connector" idref="#_x0000_s1077"/>
        <o:r id="V:Rule24" type="connector" idref="#_x0000_s1046"/>
        <o:r id="V:Rule25" type="connector" idref="#_x0000_s1037"/>
        <o:r id="V:Rule26" type="connector" idref="#_x0000_s1060"/>
        <o:r id="V:Rule27" type="connector" idref="#_x0000_s1045"/>
        <o:r id="V:Rule28" type="connector" idref="#_x0000_s1040"/>
        <o:r id="V:Rule29" type="connector" idref="#_x0000_s1041"/>
        <o:r id="V:Rule30" type="connector" idref="#_x0000_s1076"/>
        <o:r id="V:Rule31" type="connector" idref="#_x0000_s1074"/>
        <o:r id="V:Rule32" type="connector" idref="#_x0000_s1075"/>
        <o:r id="V:Rule33" type="connector" idref="#_x0000_s1078"/>
        <o:r id="V:Rule3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A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201F"/>
    <w:pPr>
      <w:ind w:left="720"/>
      <w:contextualSpacing/>
    </w:pPr>
  </w:style>
  <w:style w:type="paragraph" w:customStyle="1" w:styleId="Default">
    <w:name w:val="Default"/>
    <w:rsid w:val="00721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20</cp:revision>
  <dcterms:created xsi:type="dcterms:W3CDTF">2024-11-16T20:37:00Z</dcterms:created>
  <dcterms:modified xsi:type="dcterms:W3CDTF">2024-11-27T14:16:00Z</dcterms:modified>
</cp:coreProperties>
</file>